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6A19"/>
          <w:sz w:val="44"/>
          <w:szCs w:val="48"/>
          <w:lang w:val="es-CO"/>
        </w:rPr>
      </w:pPr>
      <w:r w:rsidRPr="00B41416">
        <w:rPr>
          <w:rFonts w:ascii="HelveticaNeue-Bold" w:hAnsi="HelveticaNeue-Bold" w:cs="HelveticaNeue-Bold"/>
          <w:b/>
          <w:bCs/>
          <w:color w:val="FF6A19"/>
          <w:sz w:val="44"/>
          <w:szCs w:val="48"/>
          <w:lang w:val="es-CO"/>
        </w:rPr>
        <w:t>POLÍTICA DE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44"/>
          <w:szCs w:val="48"/>
          <w:lang w:val="es-CO"/>
        </w:rPr>
      </w:pPr>
      <w:r w:rsidRPr="00B41416">
        <w:rPr>
          <w:rFonts w:ascii="HelveticaNeue-Bold" w:hAnsi="HelveticaNeue-Bold" w:cs="HelveticaNeue-Bold"/>
          <w:bCs/>
          <w:sz w:val="44"/>
          <w:szCs w:val="48"/>
          <w:lang w:val="es-CO"/>
        </w:rPr>
        <w:t>EMPODERAMIENTO DE LA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44"/>
          <w:szCs w:val="48"/>
          <w:lang w:val="es-CO"/>
        </w:rPr>
      </w:pPr>
      <w:r w:rsidRPr="00B41416">
        <w:rPr>
          <w:rFonts w:ascii="HelveticaNeue-Bold" w:hAnsi="HelveticaNeue-Bold" w:cs="HelveticaNeue-Bold"/>
          <w:bCs/>
          <w:sz w:val="44"/>
          <w:szCs w:val="48"/>
          <w:lang w:val="es-CO"/>
        </w:rPr>
        <w:t>MUJER Y EQUIDAD DE GÉNERO</w:t>
      </w:r>
      <w:bookmarkStart w:id="0" w:name="_GoBack"/>
      <w:bookmarkEnd w:id="0"/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16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16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</w:pPr>
      <w:r w:rsidRPr="00B41416"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  <w:t>DECLARACIÓN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</w:pP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 xml:space="preserve">AngloGold Ashanti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tiene la responsabilidad moral y legal de garantizar la equidad en el trato de mujeres y hombres en todas sus políticas,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programas y proyectos. Dadas las disparidades arraigadas, el tratamiento igual de mujeres y hombres es insuficiente como estrategia para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proofErr w:type="gramStart"/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la</w:t>
      </w:r>
      <w:proofErr w:type="gramEnd"/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equidad de género. Deben desarrollarse medidas específicas para identificar y eliminar las causas subyacentes de la discriminación en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las políticas, procedimientos, creencias, prácticas y actitudes que mantienen la inequidad de género. Esto sólo puede lograrse desde un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enfoque multidimensional que se centre en todos los aspectos internos y externos para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>AngloGold Ashanti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.</w:t>
      </w: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 xml:space="preserve">AngloGold Ashanti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está firmemente comprometida en la equidad entre mujeres y hombres para garantizar el desarrollo sostenible.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</w:pPr>
      <w:r w:rsidRPr="00B41416"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  <w:t>OBJETIVO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El propósito principal de ésta política es servir como una herramienta y un marco para propender por la equidad de género en el lugar de trabajo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y permitirle a la empresa integrar el género a las prácticas organizacionales claves. Además, sugiere el desarrollo de intervenciones específicas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para satisfacer las necesidades prácticas y estratégicas de las mujeres con el fin de garantizar su empoderamiento como un paso hacia la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equidad de género.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</w:pPr>
      <w:r w:rsidRPr="00B41416"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  <w:t>ALCANCE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8000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La política establece guías generales para la empresa con el fin de lograr la equidad de género y no prescribe ningún plan de acción o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estrategias de implementación específicos a una región. Éstas surgirán a medida que cada región interactúe con los objetivos estratégicos</w:t>
      </w:r>
      <w:r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esbozados en esta política y que han sido formulados con base en los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>Principios de Empoderamiento de la Mujer de la ONU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.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Los Principios de Empoderamiento de la Mujer incluyen: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.</w:t>
      </w: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• El liderazgo promueve la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>equidad de género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.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•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 xml:space="preserve">AngloGold Ashanti 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promueve la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>Igualdad de Oportunidades, la Inclusión y la No Discriminación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.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• La compañía proveerá condiciones de trabajo que promuevan la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>Salud, Seguridad y la no Violencia para sus empleados</w:t>
      </w: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>.</w:t>
      </w: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t xml:space="preserve">La compañía proporcionará igualdad de acceso a la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>Educación y Capacitación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Pr="00B41416" w:rsidRDefault="00B41416" w:rsidP="00B414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  <w:lang w:val="es-CO"/>
        </w:rPr>
      </w:pPr>
      <w:r w:rsidRPr="00B41416">
        <w:rPr>
          <w:rFonts w:ascii="Calibri" w:hAnsi="Calibri"/>
          <w:lang w:val="es-CO"/>
        </w:rPr>
        <w:t xml:space="preserve">La compañía apoyara la equidad de género a través del </w:t>
      </w:r>
      <w:r w:rsidRPr="00B41416">
        <w:rPr>
          <w:rFonts w:ascii="Calibri" w:hAnsi="Calibri"/>
          <w:b/>
          <w:lang w:val="es-CO"/>
        </w:rPr>
        <w:t>liderazgo y empoderamiento social</w:t>
      </w:r>
    </w:p>
    <w:p w:rsidR="00B41416" w:rsidRPr="00B41416" w:rsidRDefault="00B41416" w:rsidP="00B414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  <w:b/>
          <w:lang w:val="es-CO"/>
        </w:rPr>
      </w:pPr>
      <w:r w:rsidRPr="00B41416">
        <w:rPr>
          <w:rFonts w:ascii="Calibri" w:hAnsi="Calibri"/>
          <w:lang w:val="es-CO"/>
        </w:rPr>
        <w:t xml:space="preserve">La compañía promoverá la igualdad de oportunidades en el </w:t>
      </w:r>
      <w:r w:rsidRPr="00B41416">
        <w:rPr>
          <w:rFonts w:ascii="Calibri" w:hAnsi="Calibri"/>
          <w:b/>
          <w:lang w:val="es-CO"/>
        </w:rPr>
        <w:t>desarrollo del negocio, la cadena de suministros y en las prácticas de relacionamiento con los clientes</w:t>
      </w:r>
    </w:p>
    <w:p w:rsidR="00B41416" w:rsidRPr="00B41416" w:rsidRDefault="00B41416" w:rsidP="00B41416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libri" w:hAnsi="Calibri"/>
          <w:b/>
          <w:lang w:val="es-CO"/>
        </w:rPr>
      </w:pPr>
      <w:r>
        <w:rPr>
          <w:rFonts w:ascii="Calibri" w:hAnsi="Calibri"/>
          <w:lang w:val="es-CO"/>
        </w:rPr>
        <w:t>L</w:t>
      </w:r>
      <w:r w:rsidRPr="00B41416">
        <w:rPr>
          <w:rFonts w:ascii="Calibri" w:hAnsi="Calibri"/>
          <w:lang w:val="es-CO"/>
        </w:rPr>
        <w:t xml:space="preserve">a compañía hará pública su política de género y apoyará su implementación a través de: </w:t>
      </w:r>
      <w:r w:rsidRPr="00B41416">
        <w:rPr>
          <w:rFonts w:ascii="Calibri" w:hAnsi="Calibri"/>
          <w:b/>
          <w:lang w:val="es-CO"/>
        </w:rPr>
        <w:t>transparencia,</w:t>
      </w:r>
      <w:r w:rsidRPr="00B41416">
        <w:rPr>
          <w:rFonts w:ascii="Calibri" w:hAnsi="Calibri"/>
          <w:b/>
          <w:lang w:val="es-CO"/>
        </w:rPr>
        <w:t xml:space="preserve"> </w:t>
      </w:r>
      <w:r w:rsidRPr="00B41416">
        <w:rPr>
          <w:rFonts w:ascii="Calibri" w:hAnsi="Calibri"/>
          <w:b/>
          <w:lang w:val="es-CO"/>
        </w:rPr>
        <w:t>medición y presentación de informes.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b/>
          <w:color w:val="0A2427"/>
          <w:sz w:val="20"/>
          <w:szCs w:val="16"/>
          <w:lang w:val="es-CO"/>
        </w:rPr>
        <w:t>.</w:t>
      </w: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  <w:r w:rsidRPr="00B41416">
        <w:rPr>
          <w:rFonts w:ascii="HelveticaNeue" w:hAnsi="HelveticaNeue" w:cs="HelveticaNeue"/>
          <w:color w:val="0A2427"/>
          <w:sz w:val="20"/>
          <w:szCs w:val="16"/>
          <w:lang w:val="es-CO"/>
        </w:rPr>
        <w:lastRenderedPageBreak/>
        <w:t xml:space="preserve">La fecha de vigencia de esta política es el </w:t>
      </w: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  <w:lang w:val="es-CO"/>
        </w:rPr>
        <w:t>1 de octubre de 2017</w:t>
      </w: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A2427"/>
          <w:sz w:val="20"/>
          <w:szCs w:val="16"/>
          <w:lang w:val="es-CO"/>
        </w:rPr>
      </w:pPr>
    </w:p>
    <w:p w:rsidR="00B41416" w:rsidRPr="00B41416" w:rsidRDefault="00B41416" w:rsidP="00B4141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A2427"/>
          <w:sz w:val="20"/>
          <w:szCs w:val="16"/>
        </w:rPr>
      </w:pPr>
      <w:r w:rsidRPr="00B41416">
        <w:rPr>
          <w:rFonts w:ascii="HelveticaNeue-Bold" w:hAnsi="HelveticaNeue-Bold" w:cs="HelveticaNeue-Bold"/>
          <w:b/>
          <w:bCs/>
          <w:color w:val="0A2427"/>
          <w:sz w:val="20"/>
          <w:szCs w:val="16"/>
        </w:rPr>
        <w:t>FELIPE MÁRQUEZ ROBLEDO</w:t>
      </w:r>
    </w:p>
    <w:p w:rsidR="003A7C7C" w:rsidRPr="00B41416" w:rsidRDefault="00B41416" w:rsidP="00B41416">
      <w:pPr>
        <w:rPr>
          <w:sz w:val="28"/>
        </w:rPr>
      </w:pPr>
      <w:proofErr w:type="spellStart"/>
      <w:r w:rsidRPr="00B41416">
        <w:rPr>
          <w:rFonts w:ascii="HelveticaNeue-Medium" w:hAnsi="HelveticaNeue-Medium" w:cs="HelveticaNeue-Medium"/>
          <w:color w:val="0A2427"/>
          <w:sz w:val="20"/>
          <w:szCs w:val="16"/>
        </w:rPr>
        <w:t>Presidente</w:t>
      </w:r>
      <w:proofErr w:type="spellEnd"/>
      <w:r w:rsidRPr="00B41416">
        <w:rPr>
          <w:rFonts w:ascii="HelveticaNeue-Medium" w:hAnsi="HelveticaNeue-Medium" w:cs="HelveticaNeue-Medium"/>
          <w:color w:val="0A2427"/>
          <w:sz w:val="20"/>
          <w:szCs w:val="16"/>
        </w:rPr>
        <w:t xml:space="preserve"> </w:t>
      </w:r>
      <w:proofErr w:type="spellStart"/>
      <w:r w:rsidRPr="00B41416">
        <w:rPr>
          <w:rFonts w:ascii="HelveticaNeue-Medium" w:hAnsi="HelveticaNeue-Medium" w:cs="HelveticaNeue-Medium"/>
          <w:color w:val="0A2427"/>
          <w:sz w:val="20"/>
          <w:szCs w:val="16"/>
        </w:rPr>
        <w:t>Anglogold</w:t>
      </w:r>
      <w:proofErr w:type="spellEnd"/>
      <w:r w:rsidRPr="00B41416">
        <w:rPr>
          <w:rFonts w:ascii="HelveticaNeue-Medium" w:hAnsi="HelveticaNeue-Medium" w:cs="HelveticaNeue-Medium"/>
          <w:color w:val="0A2427"/>
          <w:sz w:val="20"/>
          <w:szCs w:val="16"/>
        </w:rPr>
        <w:t xml:space="preserve"> Ashanti Colombia</w:t>
      </w:r>
    </w:p>
    <w:sectPr w:rsidR="003A7C7C" w:rsidRPr="00B4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C7D70"/>
    <w:multiLevelType w:val="hybridMultilevel"/>
    <w:tmpl w:val="DBCCD552"/>
    <w:lvl w:ilvl="0" w:tplc="76283C8A">
      <w:numFmt w:val="bullet"/>
      <w:lvlText w:val="•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8623D"/>
    <w:multiLevelType w:val="hybridMultilevel"/>
    <w:tmpl w:val="1ADA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83D95"/>
    <w:multiLevelType w:val="hybridMultilevel"/>
    <w:tmpl w:val="96E0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16"/>
    <w:rsid w:val="003A7C7C"/>
    <w:rsid w:val="00B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DA4BB-241F-4E7A-89C5-3CD03BC5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Hugo Iglesias Cano</dc:creator>
  <cp:keywords/>
  <dc:description/>
  <cp:lastModifiedBy>Victor Hugo Iglesias Cano</cp:lastModifiedBy>
  <cp:revision>1</cp:revision>
  <dcterms:created xsi:type="dcterms:W3CDTF">2017-10-30T19:30:00Z</dcterms:created>
  <dcterms:modified xsi:type="dcterms:W3CDTF">2017-10-30T19:39:00Z</dcterms:modified>
</cp:coreProperties>
</file>